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7A7D" w14:textId="77777777" w:rsidR="0068741E" w:rsidRDefault="009B7A48">
      <w:pPr>
        <w:ind w:left="-900" w:right="-120"/>
      </w:pPr>
      <w:r>
        <w:rPr>
          <w:noProof/>
        </w:rPr>
        <mc:AlternateContent>
          <mc:Choice Requires="wpg">
            <w:drawing>
              <wp:anchor distT="114300" distB="114300" distL="114300" distR="114300" simplePos="0" relativeHeight="251658240" behindDoc="1" locked="0" layoutInCell="1" hidden="0" allowOverlap="1" wp14:anchorId="666816A5" wp14:editId="4239A2CA">
                <wp:simplePos x="0" y="0"/>
                <wp:positionH relativeFrom="page">
                  <wp:posOffset>4610100</wp:posOffset>
                </wp:positionH>
                <wp:positionV relativeFrom="page">
                  <wp:posOffset>594940</wp:posOffset>
                </wp:positionV>
                <wp:extent cx="2400300" cy="1219200"/>
                <wp:effectExtent l="0" t="0" r="0" b="0"/>
                <wp:wrapNone/>
                <wp:docPr id="1" name="Rectangle 1"/>
                <wp:cNvGraphicFramePr/>
                <a:graphic xmlns:a="http://schemas.openxmlformats.org/drawingml/2006/main">
                  <a:graphicData uri="http://schemas.microsoft.com/office/word/2010/wordprocessingShape">
                    <wps:wsp>
                      <wps:cNvSpPr/>
                      <wps:spPr>
                        <a:xfrm>
                          <a:off x="4153470" y="3265650"/>
                          <a:ext cx="2385000" cy="1028700"/>
                        </a:xfrm>
                        <a:prstGeom prst="rect">
                          <a:avLst/>
                        </a:prstGeom>
                        <a:solidFill>
                          <a:srgbClr val="FFFFFF"/>
                        </a:solidFill>
                        <a:ln>
                          <a:noFill/>
                        </a:ln>
                      </wps:spPr>
                      <wps:txbx>
                        <w:txbxContent>
                          <w:p w14:paraId="1D17BC40" w14:textId="77777777" w:rsidR="0068741E" w:rsidRDefault="009B7A48">
                            <w:pPr>
                              <w:jc w:val="right"/>
                              <w:textDirection w:val="btLr"/>
                            </w:pPr>
                            <w:r>
                              <w:rPr>
                                <w:rFonts w:ascii="Garamond" w:eastAsia="Garamond" w:hAnsi="Garamond" w:cs="Garamond"/>
                                <w:b/>
                                <w:color w:val="000000"/>
                              </w:rPr>
                              <w:t xml:space="preserve">Doug Luginbill </w:t>
                            </w:r>
                          </w:p>
                          <w:p w14:paraId="329D965A" w14:textId="77777777" w:rsidR="0068741E" w:rsidRDefault="009B7A48">
                            <w:pPr>
                              <w:jc w:val="right"/>
                              <w:textDirection w:val="btLr"/>
                            </w:pPr>
                            <w:r>
                              <w:rPr>
                                <w:rFonts w:ascii="Garamond" w:eastAsia="Garamond" w:hAnsi="Garamond" w:cs="Garamond"/>
                                <w:b/>
                                <w:color w:val="000000"/>
                              </w:rPr>
                              <w:t xml:space="preserve">Conference Minister </w:t>
                            </w:r>
                          </w:p>
                          <w:p w14:paraId="629DCFE3" w14:textId="77777777" w:rsidR="0068741E" w:rsidRDefault="009B7A48">
                            <w:pPr>
                              <w:jc w:val="right"/>
                              <w:textDirection w:val="btLr"/>
                            </w:pPr>
                            <w:r>
                              <w:rPr>
                                <w:rFonts w:ascii="Garamond" w:eastAsia="Garamond" w:hAnsi="Garamond" w:cs="Garamond"/>
                                <w:color w:val="000000"/>
                                <w:sz w:val="20"/>
                              </w:rPr>
                              <w:t>PO BOX 1199</w:t>
                            </w:r>
                          </w:p>
                          <w:p w14:paraId="5B3D2575" w14:textId="77777777" w:rsidR="0068741E" w:rsidRDefault="009B7A48">
                            <w:pPr>
                              <w:jc w:val="right"/>
                              <w:textDirection w:val="btLr"/>
                            </w:pPr>
                            <w:r>
                              <w:rPr>
                                <w:rFonts w:ascii="Garamond" w:eastAsia="Garamond" w:hAnsi="Garamond" w:cs="Garamond"/>
                                <w:color w:val="000000"/>
                                <w:sz w:val="20"/>
                              </w:rPr>
                              <w:t>Goshen, IN 46527</w:t>
                            </w:r>
                          </w:p>
                          <w:p w14:paraId="53D2EC38" w14:textId="77777777" w:rsidR="0068741E" w:rsidRDefault="009B7A48">
                            <w:pPr>
                              <w:jc w:val="right"/>
                              <w:textDirection w:val="btLr"/>
                            </w:pPr>
                            <w:r>
                              <w:rPr>
                                <w:rFonts w:ascii="Garamond" w:eastAsia="Garamond" w:hAnsi="Garamond" w:cs="Garamond"/>
                                <w:color w:val="000000"/>
                                <w:sz w:val="20"/>
                              </w:rPr>
                              <w:t xml:space="preserve">doug@mcusacdc.org </w:t>
                            </w:r>
                          </w:p>
                          <w:p w14:paraId="5DBCFDB4" w14:textId="77777777" w:rsidR="0068741E" w:rsidRDefault="009B7A48">
                            <w:pPr>
                              <w:jc w:val="right"/>
                              <w:textDirection w:val="btLr"/>
                            </w:pPr>
                            <w:r>
                              <w:rPr>
                                <w:rFonts w:ascii="Garamond" w:eastAsia="Garamond" w:hAnsi="Garamond" w:cs="Garamond"/>
                                <w:color w:val="000000"/>
                                <w:sz w:val="20"/>
                              </w:rPr>
                              <w:t>574-534-1485</w:t>
                            </w:r>
                          </w:p>
                          <w:p w14:paraId="365DC8AB" w14:textId="77777777" w:rsidR="0068741E" w:rsidRDefault="0068741E">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page">
                  <wp:posOffset>4610100</wp:posOffset>
                </wp:positionH>
                <wp:positionV relativeFrom="page">
                  <wp:posOffset>594940</wp:posOffset>
                </wp:positionV>
                <wp:extent cx="2400300" cy="121920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400300" cy="1219200"/>
                        </a:xfrm>
                        <a:prstGeom prst="rect"/>
                        <a:ln/>
                      </pic:spPr>
                    </pic:pic>
                  </a:graphicData>
                </a:graphic>
              </wp:anchor>
            </w:drawing>
          </mc:Fallback>
        </mc:AlternateContent>
      </w:r>
      <w:r>
        <w:rPr>
          <w:noProof/>
        </w:rPr>
        <w:drawing>
          <wp:inline distT="0" distB="0" distL="114300" distR="114300" wp14:anchorId="3826F9F9" wp14:editId="4A509016">
            <wp:extent cx="838835" cy="915035"/>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838835" cy="915035"/>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0FB4728A" wp14:editId="189AC3BE">
                <wp:simplePos x="0" y="0"/>
                <wp:positionH relativeFrom="column">
                  <wp:posOffset>787400</wp:posOffset>
                </wp:positionH>
                <wp:positionV relativeFrom="paragraph">
                  <wp:posOffset>-101599</wp:posOffset>
                </wp:positionV>
                <wp:extent cx="1495425" cy="1151890"/>
                <wp:effectExtent l="0" t="0" r="0" b="0"/>
                <wp:wrapNone/>
                <wp:docPr id="3" name="Rectangle 3"/>
                <wp:cNvGraphicFramePr/>
                <a:graphic xmlns:a="http://schemas.openxmlformats.org/drawingml/2006/main">
                  <a:graphicData uri="http://schemas.microsoft.com/office/word/2010/wordprocessingShape">
                    <wps:wsp>
                      <wps:cNvSpPr/>
                      <wps:spPr>
                        <a:xfrm>
                          <a:off x="4603050" y="3208818"/>
                          <a:ext cx="1485900" cy="1142365"/>
                        </a:xfrm>
                        <a:prstGeom prst="rect">
                          <a:avLst/>
                        </a:prstGeom>
                        <a:solidFill>
                          <a:srgbClr val="FFFFFF"/>
                        </a:solidFill>
                        <a:ln>
                          <a:noFill/>
                        </a:ln>
                      </wps:spPr>
                      <wps:txbx>
                        <w:txbxContent>
                          <w:p w14:paraId="5212900C" w14:textId="77777777" w:rsidR="0068741E" w:rsidRDefault="009B7A48">
                            <w:pPr>
                              <w:textDirection w:val="btLr"/>
                            </w:pPr>
                            <w:r>
                              <w:rPr>
                                <w:rFonts w:ascii="Garamond" w:eastAsia="Garamond" w:hAnsi="Garamond" w:cs="Garamond"/>
                                <w:b/>
                                <w:color w:val="000000"/>
                              </w:rPr>
                              <w:t xml:space="preserve">Central </w:t>
                            </w:r>
                          </w:p>
                          <w:p w14:paraId="2D2D026A" w14:textId="77777777" w:rsidR="0068741E" w:rsidRDefault="009B7A48">
                            <w:pPr>
                              <w:textDirection w:val="btLr"/>
                            </w:pPr>
                            <w:r>
                              <w:rPr>
                                <w:rFonts w:ascii="Garamond" w:eastAsia="Garamond" w:hAnsi="Garamond" w:cs="Garamond"/>
                                <w:b/>
                                <w:color w:val="000000"/>
                              </w:rPr>
                              <w:t xml:space="preserve">District </w:t>
                            </w:r>
                          </w:p>
                          <w:p w14:paraId="32C25F1F" w14:textId="77777777" w:rsidR="0068741E" w:rsidRDefault="009B7A48">
                            <w:pPr>
                              <w:textDirection w:val="btLr"/>
                            </w:pPr>
                            <w:r>
                              <w:rPr>
                                <w:rFonts w:ascii="Garamond" w:eastAsia="Garamond" w:hAnsi="Garamond" w:cs="Garamond"/>
                                <w:b/>
                                <w:color w:val="000000"/>
                              </w:rPr>
                              <w:t>Conference</w:t>
                            </w:r>
                          </w:p>
                          <w:p w14:paraId="65C7EE18" w14:textId="77777777" w:rsidR="0068741E" w:rsidRDefault="0068741E">
                            <w:pPr>
                              <w:textDirection w:val="btLr"/>
                            </w:pPr>
                          </w:p>
                          <w:p w14:paraId="4205F3A6" w14:textId="77777777" w:rsidR="0068741E" w:rsidRDefault="009B7A48">
                            <w:pPr>
                              <w:textDirection w:val="btLr"/>
                            </w:pPr>
                            <w:r>
                              <w:rPr>
                                <w:rFonts w:ascii="Arial" w:eastAsia="Arial" w:hAnsi="Arial" w:cs="Arial"/>
                                <w:color w:val="000000"/>
                                <w:sz w:val="18"/>
                              </w:rPr>
                              <w:t>A conference of</w:t>
                            </w:r>
                          </w:p>
                          <w:p w14:paraId="7960F47A" w14:textId="77777777" w:rsidR="0068741E" w:rsidRDefault="009B7A48">
                            <w:pPr>
                              <w:textDirection w:val="btLr"/>
                            </w:pPr>
                            <w:r>
                              <w:rPr>
                                <w:rFonts w:ascii="Arial" w:eastAsia="Arial" w:hAnsi="Arial" w:cs="Arial"/>
                                <w:color w:val="000000"/>
                                <w:sz w:val="18"/>
                              </w:rPr>
                              <w:t>Mennonite Church USA</w:t>
                            </w:r>
                          </w:p>
                          <w:p w14:paraId="178FEFF9" w14:textId="77777777" w:rsidR="0068741E" w:rsidRDefault="0068741E">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787400</wp:posOffset>
                </wp:positionH>
                <wp:positionV relativeFrom="paragraph">
                  <wp:posOffset>-101599</wp:posOffset>
                </wp:positionV>
                <wp:extent cx="1495425" cy="1151890"/>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495425" cy="1151890"/>
                        </a:xfrm>
                        <a:prstGeom prst="rect"/>
                        <a:ln/>
                      </pic:spPr>
                    </pic:pic>
                  </a:graphicData>
                </a:graphic>
              </wp:anchor>
            </w:drawing>
          </mc:Fallback>
        </mc:AlternateContent>
      </w:r>
    </w:p>
    <w:p w14:paraId="5A07E0CE" w14:textId="77777777" w:rsidR="0068741E" w:rsidRDefault="009B7A48">
      <w:pPr>
        <w:tabs>
          <w:tab w:val="left" w:pos="720"/>
          <w:tab w:val="left" w:pos="1440"/>
          <w:tab w:val="left" w:pos="1800"/>
          <w:tab w:val="left" w:pos="2160"/>
        </w:tabs>
        <w:ind w:left="1440" w:right="-120"/>
      </w:pPr>
      <w:r>
        <w:tab/>
      </w:r>
      <w:r>
        <w:rPr>
          <w:noProof/>
        </w:rPr>
        <mc:AlternateContent>
          <mc:Choice Requires="wpg">
            <w:drawing>
              <wp:anchor distT="0" distB="0" distL="114300" distR="114300" simplePos="0" relativeHeight="251660288" behindDoc="0" locked="0" layoutInCell="1" hidden="0" allowOverlap="1" wp14:anchorId="04541EED" wp14:editId="2A3327D7">
                <wp:simplePos x="0" y="0"/>
                <wp:positionH relativeFrom="column">
                  <wp:posOffset>787400</wp:posOffset>
                </wp:positionH>
                <wp:positionV relativeFrom="paragraph">
                  <wp:posOffset>50800</wp:posOffset>
                </wp:positionV>
                <wp:extent cx="12700" cy="7543800"/>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8100"/>
                          <a:ext cx="0" cy="7543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787400</wp:posOffset>
                </wp:positionH>
                <wp:positionV relativeFrom="paragraph">
                  <wp:posOffset>50800</wp:posOffset>
                </wp:positionV>
                <wp:extent cx="12700" cy="7543800"/>
                <wp:effectExtent b="0" l="0" r="0" t="0"/>
                <wp:wrapNone/>
                <wp:docPr id="5"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2700" cy="75438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078C305C" wp14:editId="2827F750">
                <wp:simplePos x="0" y="0"/>
                <wp:positionH relativeFrom="column">
                  <wp:posOffset>342900</wp:posOffset>
                </wp:positionH>
                <wp:positionV relativeFrom="paragraph">
                  <wp:posOffset>88900</wp:posOffset>
                </wp:positionV>
                <wp:extent cx="58293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5829300" cy="12700"/>
                <wp:effectExtent b="0" l="0" r="0" t="0"/>
                <wp:wrapNone/>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829300" cy="12700"/>
                        </a:xfrm>
                        <a:prstGeom prst="rect"/>
                        <a:ln/>
                      </pic:spPr>
                    </pic:pic>
                  </a:graphicData>
                </a:graphic>
              </wp:anchor>
            </w:drawing>
          </mc:Fallback>
        </mc:AlternateContent>
      </w:r>
    </w:p>
    <w:p w14:paraId="7B481F0A" w14:textId="77777777" w:rsidR="0068741E" w:rsidRDefault="009B7A48">
      <w:pPr>
        <w:ind w:left="1440" w:right="-120"/>
      </w:pPr>
      <w:r>
        <w:t>September 10, 2024</w:t>
      </w:r>
      <w:r>
        <w:rPr>
          <w:noProof/>
        </w:rPr>
        <mc:AlternateContent>
          <mc:Choice Requires="wpg">
            <w:drawing>
              <wp:anchor distT="0" distB="0" distL="114300" distR="114300" simplePos="0" relativeHeight="251662336" behindDoc="0" locked="0" layoutInCell="1" hidden="0" allowOverlap="1" wp14:anchorId="20479341" wp14:editId="74E8DA42">
                <wp:simplePos x="0" y="0"/>
                <wp:positionH relativeFrom="column">
                  <wp:posOffset>-800099</wp:posOffset>
                </wp:positionH>
                <wp:positionV relativeFrom="paragraph">
                  <wp:posOffset>0</wp:posOffset>
                </wp:positionV>
                <wp:extent cx="1494790" cy="1035685"/>
                <wp:effectExtent l="0" t="0" r="0" b="0"/>
                <wp:wrapNone/>
                <wp:docPr id="2" name="Rectangle 2"/>
                <wp:cNvGraphicFramePr/>
                <a:graphic xmlns:a="http://schemas.openxmlformats.org/drawingml/2006/main">
                  <a:graphicData uri="http://schemas.microsoft.com/office/word/2010/wordprocessingShape">
                    <wps:wsp>
                      <wps:cNvSpPr/>
                      <wps:spPr>
                        <a:xfrm>
                          <a:off x="4603368" y="3266920"/>
                          <a:ext cx="1485265" cy="1026160"/>
                        </a:xfrm>
                        <a:prstGeom prst="rect">
                          <a:avLst/>
                        </a:prstGeom>
                        <a:solidFill>
                          <a:srgbClr val="FFFFFF"/>
                        </a:solidFill>
                        <a:ln>
                          <a:noFill/>
                        </a:ln>
                      </wps:spPr>
                      <wps:txbx>
                        <w:txbxContent>
                          <w:p w14:paraId="7E1816EC" w14:textId="77777777" w:rsidR="0068741E" w:rsidRDefault="009B7A48">
                            <w:pPr>
                              <w:textDirection w:val="btLr"/>
                            </w:pPr>
                            <w:r>
                              <w:rPr>
                                <w:rFonts w:ascii="Arial" w:eastAsia="Arial" w:hAnsi="Arial" w:cs="Arial"/>
                                <w:b/>
                                <w:i/>
                                <w:color w:val="000000"/>
                                <w:sz w:val="32"/>
                              </w:rPr>
                              <w:t xml:space="preserve">  Knowing</w:t>
                            </w:r>
                          </w:p>
                          <w:p w14:paraId="7D345D6F" w14:textId="77777777" w:rsidR="0068741E" w:rsidRDefault="009B7A48">
                            <w:pPr>
                              <w:jc w:val="right"/>
                              <w:textDirection w:val="btLr"/>
                            </w:pPr>
                            <w:r>
                              <w:rPr>
                                <w:rFonts w:ascii="Arial" w:eastAsia="Arial" w:hAnsi="Arial" w:cs="Arial"/>
                                <w:b/>
                                <w:i/>
                                <w:color w:val="000000"/>
                                <w:sz w:val="32"/>
                              </w:rPr>
                              <w:t>Christ’s love…</w:t>
                            </w:r>
                          </w:p>
                          <w:p w14:paraId="5CF15559" w14:textId="77777777" w:rsidR="0068741E" w:rsidRDefault="009B7A48">
                            <w:pPr>
                              <w:jc w:val="right"/>
                              <w:textDirection w:val="btLr"/>
                            </w:pPr>
                            <w:r>
                              <w:rPr>
                                <w:rFonts w:ascii="Arial" w:eastAsia="Arial" w:hAnsi="Arial" w:cs="Arial"/>
                                <w:b/>
                                <w:i/>
                                <w:color w:val="000000"/>
                                <w:sz w:val="32"/>
                              </w:rPr>
                              <w:t>Answering</w:t>
                            </w:r>
                          </w:p>
                          <w:p w14:paraId="31641212" w14:textId="77777777" w:rsidR="0068741E" w:rsidRDefault="009B7A48">
                            <w:pPr>
                              <w:jc w:val="right"/>
                              <w:textDirection w:val="btLr"/>
                            </w:pPr>
                            <w:r>
                              <w:rPr>
                                <w:rFonts w:ascii="Arial" w:eastAsia="Arial" w:hAnsi="Arial" w:cs="Arial"/>
                                <w:b/>
                                <w:i/>
                                <w:color w:val="000000"/>
                                <w:sz w:val="32"/>
                              </w:rPr>
                              <w:t>God’s Call</w:t>
                            </w:r>
                          </w:p>
                          <w:p w14:paraId="6716151A" w14:textId="77777777" w:rsidR="0068741E" w:rsidRDefault="0068741E">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1494790" cy="1035685"/>
                <wp:effectExtent b="0" l="0" r="0" t="0"/>
                <wp:wrapNone/>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494790" cy="1035685"/>
                        </a:xfrm>
                        <a:prstGeom prst="rect"/>
                        <a:ln/>
                      </pic:spPr>
                    </pic:pic>
                  </a:graphicData>
                </a:graphic>
              </wp:anchor>
            </w:drawing>
          </mc:Fallback>
        </mc:AlternateContent>
      </w:r>
    </w:p>
    <w:p w14:paraId="18DBCB88" w14:textId="77777777" w:rsidR="0068741E" w:rsidRDefault="0068741E">
      <w:pPr>
        <w:ind w:left="1440" w:right="-120"/>
      </w:pPr>
    </w:p>
    <w:p w14:paraId="431BCE7D" w14:textId="77777777" w:rsidR="0068741E" w:rsidRDefault="009B7A48">
      <w:pPr>
        <w:ind w:left="1440" w:right="-120"/>
      </w:pPr>
      <w:r>
        <w:t>Dear Congregational Leader,</w:t>
      </w:r>
    </w:p>
    <w:p w14:paraId="1CCD6016" w14:textId="77777777" w:rsidR="0068741E" w:rsidRDefault="0068741E">
      <w:pPr>
        <w:ind w:left="1440" w:right="-120"/>
      </w:pPr>
    </w:p>
    <w:p w14:paraId="0DEBFB32" w14:textId="77777777" w:rsidR="0068741E" w:rsidRDefault="009B7A48">
      <w:pPr>
        <w:ind w:left="1440" w:right="-120"/>
      </w:pPr>
      <w:r>
        <w:t xml:space="preserve">Grace and peace to you. Thank you for the leadership you provide your congregation. </w:t>
      </w:r>
    </w:p>
    <w:p w14:paraId="3110606B" w14:textId="77777777" w:rsidR="0068741E" w:rsidRDefault="0068741E">
      <w:pPr>
        <w:ind w:left="1440" w:right="-120"/>
      </w:pPr>
    </w:p>
    <w:p w14:paraId="5C4FA5A3" w14:textId="77777777" w:rsidR="0068741E" w:rsidRDefault="009B7A48">
      <w:pPr>
        <w:ind w:left="1440" w:right="-120"/>
      </w:pPr>
      <w:r>
        <w:t>As we approach election day, how do we as Mennonites provide witness to and enliven the peacemaking work of Jesus in the world? How do we protect the vulnerable within our churches and our communities at large?</w:t>
      </w:r>
    </w:p>
    <w:p w14:paraId="769243F7" w14:textId="77777777" w:rsidR="0068741E" w:rsidRDefault="0068741E">
      <w:pPr>
        <w:ind w:left="1440" w:right="-120"/>
      </w:pPr>
    </w:p>
    <w:p w14:paraId="64464E31" w14:textId="77777777" w:rsidR="0068741E" w:rsidRDefault="009B7A48">
      <w:pPr>
        <w:ind w:left="1440" w:right="-120"/>
      </w:pPr>
      <w:r>
        <w:t xml:space="preserve">"A Confession of Evangelical Conviction" was released on Friday, September 6 at </w:t>
      </w:r>
      <w:hyperlink r:id="rId12">
        <w:r>
          <w:rPr>
            <w:color w:val="1155CC"/>
            <w:u w:val="single"/>
          </w:rPr>
          <w:t>https://www.evangelicalconfession2024.com</w:t>
        </w:r>
      </w:hyperlink>
      <w:r>
        <w:t xml:space="preserve">. This confession echoes the bravery of the Confessing Church during Nazi Germany, urging contemporary evangelicals to examine themselves </w:t>
      </w:r>
      <w:proofErr w:type="gramStart"/>
      <w:r>
        <w:t>in light of</w:t>
      </w:r>
      <w:proofErr w:type="gramEnd"/>
      <w:r>
        <w:t xml:space="preserve"> current challenges.</w:t>
      </w:r>
    </w:p>
    <w:p w14:paraId="7832AA8E" w14:textId="77777777" w:rsidR="0068741E" w:rsidRDefault="0068741E">
      <w:pPr>
        <w:ind w:left="1440" w:right="-120"/>
      </w:pPr>
    </w:p>
    <w:p w14:paraId="4AC5F3FC" w14:textId="77777777" w:rsidR="0068741E" w:rsidRDefault="009B7A48">
      <w:pPr>
        <w:ind w:left="1440" w:right="-120"/>
      </w:pPr>
      <w:r>
        <w:t>As Mennonites, we were struck by the document's resonance with our own peacemaking convictions. We celebrate this effort to call evangelicals to prayerful reflection and a renewed focus on Jesus' message of peacemaking!</w:t>
      </w:r>
    </w:p>
    <w:p w14:paraId="272DE1B1" w14:textId="77777777" w:rsidR="0068741E" w:rsidRDefault="0068741E">
      <w:pPr>
        <w:ind w:left="1440" w:right="-120"/>
      </w:pPr>
    </w:p>
    <w:p w14:paraId="2638004B" w14:textId="77777777" w:rsidR="0068741E" w:rsidRDefault="009B7A48">
      <w:pPr>
        <w:ind w:left="1440" w:right="-120"/>
      </w:pPr>
      <w:r>
        <w:t>Fear and division are pervasive, threatening to fracture the bonds that once held us together.  Families and neighbors often find themselves at odds, turning our once shared tables into spaces of loss, hopelessness, pain, and anger.</w:t>
      </w:r>
    </w:p>
    <w:p w14:paraId="4D70118A" w14:textId="77777777" w:rsidR="0068741E" w:rsidRDefault="0068741E">
      <w:pPr>
        <w:ind w:left="1440" w:right="-120"/>
      </w:pPr>
    </w:p>
    <w:p w14:paraId="5F5DC23C" w14:textId="77777777" w:rsidR="0068741E" w:rsidRDefault="009B7A48">
      <w:pPr>
        <w:ind w:left="1440" w:right="-120"/>
      </w:pPr>
      <w:r>
        <w:t>There's reason for hope amidst this darkness. Perhaps, as the text suggests, our Mennonite theology and practice of peacemaking hold special relevance for "such a time as this." It’s a good time to be Mennonite!</w:t>
      </w:r>
    </w:p>
    <w:p w14:paraId="2AF14F3D" w14:textId="77777777" w:rsidR="0068741E" w:rsidRDefault="0068741E">
      <w:pPr>
        <w:ind w:left="1440" w:right="-120"/>
      </w:pPr>
    </w:p>
    <w:p w14:paraId="0679B007" w14:textId="77777777" w:rsidR="0068741E" w:rsidRDefault="009B7A48">
      <w:pPr>
        <w:ind w:left="1440" w:right="-120"/>
      </w:pPr>
      <w:r>
        <w:t xml:space="preserve">We invite you to </w:t>
      </w:r>
      <w:proofErr w:type="gramStart"/>
      <w:r>
        <w:t>take a look</w:t>
      </w:r>
      <w:proofErr w:type="gramEnd"/>
      <w:r>
        <w:t xml:space="preserve"> at "</w:t>
      </w:r>
      <w:hyperlink r:id="rId13">
        <w:r>
          <w:rPr>
            <w:color w:val="1155CC"/>
            <w:u w:val="single"/>
          </w:rPr>
          <w:t>A Confession of Evangelical Conviction</w:t>
        </w:r>
      </w:hyperlink>
      <w:r>
        <w:t>" and its call for revival. How can we bridge divides and offer support to our evangelical brothers and sisters? How can we forge unity based on the shared convictions it contains?</w:t>
      </w:r>
    </w:p>
    <w:p w14:paraId="0562C05B" w14:textId="77777777" w:rsidR="0068741E" w:rsidRDefault="0068741E">
      <w:pPr>
        <w:ind w:left="1440" w:right="-120"/>
      </w:pPr>
    </w:p>
    <w:p w14:paraId="387A254C" w14:textId="77777777" w:rsidR="0068741E" w:rsidRDefault="009B7A48">
      <w:pPr>
        <w:ind w:left="1440" w:right="-120"/>
      </w:pPr>
      <w:r>
        <w:t>This week, the CDC staff will be dedicated to prayer for this movement of revival. We invite you and your church communities to join us, alongside "churches around the country in a call for renewal, refocus on Jesus as Lord, and a prayer for the Holy Spirit to restore the witness and love of the Church."</w:t>
      </w:r>
    </w:p>
    <w:p w14:paraId="40F59DF7" w14:textId="77777777" w:rsidR="0068741E" w:rsidRDefault="0068741E">
      <w:pPr>
        <w:ind w:left="1440" w:right="-120"/>
      </w:pPr>
    </w:p>
    <w:p w14:paraId="29B9DFE7" w14:textId="77777777" w:rsidR="0068741E" w:rsidRDefault="009B7A48">
      <w:pPr>
        <w:ind w:left="1440" w:right="-120"/>
      </w:pPr>
      <w:r>
        <w:t>Furthermore, we encourage you and your church communities to re-examine our Mennonite history, theology, and practices around peacemaking and political engagement. We've included some resources below to facilitate deeper engagement.</w:t>
      </w:r>
    </w:p>
    <w:p w14:paraId="5ACF6C38" w14:textId="77777777" w:rsidR="0068741E" w:rsidRDefault="0068741E">
      <w:pPr>
        <w:ind w:left="1440" w:right="-120"/>
      </w:pPr>
    </w:p>
    <w:p w14:paraId="62778F3C" w14:textId="77777777" w:rsidR="0068741E" w:rsidRDefault="009B7A48">
      <w:pPr>
        <w:ind w:right="-120"/>
      </w:pPr>
      <w:r>
        <w:lastRenderedPageBreak/>
        <w:t>Thank you for your continued witness of God’s peacemaking work in your community and neighborhoods!</w:t>
      </w:r>
    </w:p>
    <w:p w14:paraId="1FBEEA68" w14:textId="77777777" w:rsidR="0068741E" w:rsidRDefault="0068741E">
      <w:pPr>
        <w:ind w:left="1440" w:right="-120"/>
      </w:pPr>
    </w:p>
    <w:p w14:paraId="7A336A0D" w14:textId="77777777" w:rsidR="0068741E" w:rsidRDefault="009B7A48">
      <w:pPr>
        <w:ind w:right="-120"/>
      </w:pPr>
      <w:r>
        <w:t>Sincerely,</w:t>
      </w:r>
    </w:p>
    <w:p w14:paraId="21785F7F" w14:textId="77777777" w:rsidR="0068741E" w:rsidRDefault="009B7A48">
      <w:pPr>
        <w:ind w:right="-120"/>
      </w:pPr>
      <w:r>
        <w:rPr>
          <w:noProof/>
        </w:rPr>
        <w:drawing>
          <wp:inline distT="0" distB="0" distL="114300" distR="114300" wp14:anchorId="240A1847" wp14:editId="325230D6">
            <wp:extent cx="1294765" cy="35242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1294765" cy="352425"/>
                    </a:xfrm>
                    <a:prstGeom prst="rect">
                      <a:avLst/>
                    </a:prstGeom>
                    <a:ln/>
                  </pic:spPr>
                </pic:pic>
              </a:graphicData>
            </a:graphic>
          </wp:inline>
        </w:drawing>
      </w:r>
    </w:p>
    <w:p w14:paraId="21F45ED5" w14:textId="77777777" w:rsidR="0068741E" w:rsidRDefault="009B7A48">
      <w:pPr>
        <w:ind w:right="-120"/>
      </w:pPr>
      <w:r>
        <w:t>Doug Luginbill, Conference Minister</w:t>
      </w:r>
    </w:p>
    <w:p w14:paraId="36E6E719" w14:textId="77777777" w:rsidR="0068741E" w:rsidRDefault="0068741E">
      <w:pPr>
        <w:ind w:right="-120"/>
      </w:pPr>
    </w:p>
    <w:p w14:paraId="533C7C21" w14:textId="77777777" w:rsidR="0068741E" w:rsidRDefault="009B7A48">
      <w:pPr>
        <w:ind w:right="-120"/>
      </w:pPr>
      <w:r>
        <w:rPr>
          <w:noProof/>
        </w:rPr>
        <w:drawing>
          <wp:inline distT="114300" distB="114300" distL="114300" distR="114300" wp14:anchorId="162861CE" wp14:editId="263CCA12">
            <wp:extent cx="1357313" cy="336034"/>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357313" cy="336034"/>
                    </a:xfrm>
                    <a:prstGeom prst="rect">
                      <a:avLst/>
                    </a:prstGeom>
                    <a:ln/>
                  </pic:spPr>
                </pic:pic>
              </a:graphicData>
            </a:graphic>
          </wp:inline>
        </w:drawing>
      </w:r>
    </w:p>
    <w:p w14:paraId="5272D3DB" w14:textId="77777777" w:rsidR="0068741E" w:rsidRDefault="009B7A48">
      <w:pPr>
        <w:ind w:right="-120"/>
      </w:pPr>
      <w:r>
        <w:t>Matt Pritchard, Associate Conference Minister of Emerging Communities of Faith</w:t>
      </w:r>
    </w:p>
    <w:p w14:paraId="1A36588B" w14:textId="77777777" w:rsidR="0068741E" w:rsidRDefault="0068741E">
      <w:pPr>
        <w:ind w:right="-120"/>
      </w:pPr>
    </w:p>
    <w:p w14:paraId="31EF9A1F" w14:textId="77777777" w:rsidR="0068741E" w:rsidRDefault="009B7A48">
      <w:pPr>
        <w:ind w:right="-120"/>
      </w:pPr>
      <w:r>
        <w:rPr>
          <w:noProof/>
        </w:rPr>
        <w:drawing>
          <wp:inline distT="114300" distB="114300" distL="114300" distR="114300" wp14:anchorId="0520CACB" wp14:editId="56106E57">
            <wp:extent cx="381000" cy="1419225"/>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l="41217" t="14857" r="26484"/>
                    <a:stretch>
                      <a:fillRect/>
                    </a:stretch>
                  </pic:blipFill>
                  <pic:spPr>
                    <a:xfrm rot="16200000">
                      <a:off x="0" y="0"/>
                      <a:ext cx="381000" cy="1419225"/>
                    </a:xfrm>
                    <a:prstGeom prst="rect">
                      <a:avLst/>
                    </a:prstGeom>
                    <a:ln/>
                  </pic:spPr>
                </pic:pic>
              </a:graphicData>
            </a:graphic>
          </wp:inline>
        </w:drawing>
      </w:r>
    </w:p>
    <w:p w14:paraId="4FF877FE" w14:textId="77777777" w:rsidR="0068741E" w:rsidRDefault="009B7A48">
      <w:pPr>
        <w:ind w:right="-120"/>
      </w:pPr>
      <w:r>
        <w:t>Sarah Werner, Communications Coordinator</w:t>
      </w:r>
    </w:p>
    <w:p w14:paraId="0A203839" w14:textId="77777777" w:rsidR="0068741E" w:rsidRDefault="009B7A48">
      <w:pPr>
        <w:ind w:right="-120"/>
      </w:pPr>
      <w:r>
        <w:rPr>
          <w:noProof/>
        </w:rPr>
        <w:drawing>
          <wp:inline distT="114300" distB="114300" distL="114300" distR="114300" wp14:anchorId="4F65D9F8" wp14:editId="1167DB2F">
            <wp:extent cx="1922399" cy="41463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922399" cy="414635"/>
                    </a:xfrm>
                    <a:prstGeom prst="rect">
                      <a:avLst/>
                    </a:prstGeom>
                    <a:ln/>
                  </pic:spPr>
                </pic:pic>
              </a:graphicData>
            </a:graphic>
          </wp:inline>
        </w:drawing>
      </w:r>
    </w:p>
    <w:p w14:paraId="11199A3B" w14:textId="77777777" w:rsidR="0068741E" w:rsidRDefault="009B7A48">
      <w:pPr>
        <w:ind w:right="-120"/>
      </w:pPr>
      <w:r>
        <w:t>Emma Hartman, Conference Administrator</w:t>
      </w:r>
    </w:p>
    <w:p w14:paraId="1E3E93C4" w14:textId="77777777" w:rsidR="0068741E" w:rsidRDefault="0068741E">
      <w:pPr>
        <w:ind w:right="-120"/>
      </w:pPr>
    </w:p>
    <w:p w14:paraId="61B780DF" w14:textId="77777777" w:rsidR="0068741E" w:rsidRDefault="0068741E">
      <w:pPr>
        <w:ind w:right="-120"/>
      </w:pPr>
    </w:p>
    <w:p w14:paraId="57D7CD77" w14:textId="77777777" w:rsidR="0068741E" w:rsidRDefault="0068741E">
      <w:pPr>
        <w:ind w:right="-120"/>
      </w:pPr>
    </w:p>
    <w:p w14:paraId="0CF24200" w14:textId="77777777" w:rsidR="0068741E" w:rsidRDefault="009B7A48">
      <w:pPr>
        <w:ind w:left="720" w:right="-120"/>
      </w:pPr>
      <w:r>
        <w:t xml:space="preserve">Confession of Faith </w:t>
      </w:r>
      <w:proofErr w:type="gramStart"/>
      <w:r>
        <w:t>In</w:t>
      </w:r>
      <w:proofErr w:type="gramEnd"/>
      <w:r>
        <w:t xml:space="preserve"> a Mennonite Perspective. Article 23. Church’s Relation to Government and Society. </w:t>
      </w:r>
      <w:hyperlink r:id="rId18">
        <w:r>
          <w:rPr>
            <w:color w:val="1155CC"/>
            <w:u w:val="single"/>
          </w:rPr>
          <w:t>https://www.mennoniteusa.org/who-are-mennonites/what-we-believe/confession-of-faith/churchs-relation-to-government-and-society/</w:t>
        </w:r>
      </w:hyperlink>
    </w:p>
    <w:p w14:paraId="44DA9F77" w14:textId="77777777" w:rsidR="0068741E" w:rsidRDefault="0068741E">
      <w:pPr>
        <w:ind w:left="720" w:right="-120"/>
      </w:pPr>
    </w:p>
    <w:p w14:paraId="12246B2E" w14:textId="77777777" w:rsidR="0068741E" w:rsidRDefault="009B7A48">
      <w:pPr>
        <w:ind w:left="720" w:right="-120"/>
      </w:pPr>
      <w:r>
        <w:t xml:space="preserve">Mennonite Church USA calls for bold peacemaking during the election </w:t>
      </w:r>
      <w:hyperlink r:id="rId19">
        <w:r>
          <w:rPr>
            <w:color w:val="1155CC"/>
            <w:u w:val="single"/>
          </w:rPr>
          <w:t>https://www.mennoniteusa.org/news/bold-peacemaking/</w:t>
        </w:r>
      </w:hyperlink>
    </w:p>
    <w:p w14:paraId="1A307A1D" w14:textId="77777777" w:rsidR="0068741E" w:rsidRDefault="0068741E">
      <w:pPr>
        <w:ind w:left="720" w:right="-120"/>
      </w:pPr>
    </w:p>
    <w:p w14:paraId="50C95911" w14:textId="77777777" w:rsidR="0068741E" w:rsidRDefault="009B7A48">
      <w:pPr>
        <w:ind w:left="720" w:right="-120"/>
      </w:pPr>
      <w:r>
        <w:t xml:space="preserve">A beginners’ guide to political advocacy </w:t>
      </w:r>
      <w:hyperlink r:id="rId20">
        <w:r>
          <w:rPr>
            <w:color w:val="1155CC"/>
            <w:u w:val="single"/>
          </w:rPr>
          <w:t>https://www.mennoniteusa.org/climate-justice/beginners-guide-to-political-advocacy/</w:t>
        </w:r>
      </w:hyperlink>
    </w:p>
    <w:p w14:paraId="576AB34C" w14:textId="77777777" w:rsidR="0068741E" w:rsidRDefault="0068741E">
      <w:pPr>
        <w:ind w:left="720" w:right="-120"/>
      </w:pPr>
    </w:p>
    <w:p w14:paraId="336D4772" w14:textId="77777777" w:rsidR="0068741E" w:rsidRDefault="009B7A48">
      <w:pPr>
        <w:ind w:left="720" w:right="-120"/>
      </w:pPr>
      <w:r>
        <w:t>Mennonite congregations in the landscape of abolition</w:t>
      </w:r>
    </w:p>
    <w:p w14:paraId="025ABC48" w14:textId="77777777" w:rsidR="0068741E" w:rsidRDefault="009B7A48">
      <w:pPr>
        <w:ind w:left="720" w:right="-120"/>
      </w:pPr>
      <w:hyperlink r:id="rId21">
        <w:r>
          <w:rPr>
            <w:color w:val="1155CC"/>
            <w:u w:val="single"/>
          </w:rPr>
          <w:t>https://www.mennoniteusa.org/resource-portal/resource/mennonite-congregations-in-the-landscape-of-abolition/</w:t>
        </w:r>
      </w:hyperlink>
    </w:p>
    <w:p w14:paraId="6DF5BDCA" w14:textId="77777777" w:rsidR="0068741E" w:rsidRDefault="0068741E">
      <w:pPr>
        <w:ind w:left="720" w:right="-120"/>
      </w:pPr>
    </w:p>
    <w:p w14:paraId="077EF1F7" w14:textId="77777777" w:rsidR="0068741E" w:rsidRDefault="009B7A48">
      <w:pPr>
        <w:ind w:left="720" w:right="-120"/>
      </w:pPr>
      <w:r>
        <w:t xml:space="preserve">AMBS Witness Colloquium Series: Understanding and Engaging Movements for Justice </w:t>
      </w:r>
      <w:hyperlink r:id="rId22">
        <w:r>
          <w:rPr>
            <w:color w:val="1155CC"/>
            <w:u w:val="single"/>
          </w:rPr>
          <w:t>https://www.youtube.com/watch?v=CZSu_8BWw_M</w:t>
        </w:r>
      </w:hyperlink>
    </w:p>
    <w:p w14:paraId="2C15336C" w14:textId="77777777" w:rsidR="0068741E" w:rsidRDefault="0068741E">
      <w:pPr>
        <w:ind w:left="720" w:right="-120"/>
      </w:pPr>
    </w:p>
    <w:p w14:paraId="446293E5" w14:textId="77777777" w:rsidR="0068741E" w:rsidRDefault="009B7A48">
      <w:pPr>
        <w:ind w:left="720" w:right="-120"/>
      </w:pPr>
      <w:r>
        <w:t xml:space="preserve">Community Peacemaker Teams </w:t>
      </w:r>
      <w:hyperlink r:id="rId23">
        <w:r>
          <w:rPr>
            <w:color w:val="1155CC"/>
            <w:u w:val="single"/>
          </w:rPr>
          <w:t>https://cpt.org</w:t>
        </w:r>
      </w:hyperlink>
    </w:p>
    <w:p w14:paraId="14D093FB" w14:textId="77777777" w:rsidR="0068741E" w:rsidRDefault="0068741E">
      <w:pPr>
        <w:ind w:left="720" w:right="-120"/>
      </w:pPr>
    </w:p>
    <w:p w14:paraId="20C9CB38" w14:textId="77777777" w:rsidR="0068741E" w:rsidRDefault="009B7A48">
      <w:pPr>
        <w:ind w:left="720" w:right="-120"/>
      </w:pPr>
      <w:r>
        <w:t xml:space="preserve">Mennonite Mission Network Peace Resources </w:t>
      </w:r>
      <w:hyperlink r:id="rId24">
        <w:r>
          <w:rPr>
            <w:color w:val="1155CC"/>
            <w:u w:val="single"/>
          </w:rPr>
          <w:t>https://www.mennonitemission.net/resources/peace</w:t>
        </w:r>
      </w:hyperlink>
    </w:p>
    <w:p w14:paraId="7885DE4F" w14:textId="77777777" w:rsidR="0068741E" w:rsidRDefault="0068741E">
      <w:pPr>
        <w:ind w:left="720" w:right="-120"/>
      </w:pPr>
    </w:p>
    <w:p w14:paraId="42AE7B07" w14:textId="77777777" w:rsidR="0068741E" w:rsidRDefault="009B7A48">
      <w:pPr>
        <w:ind w:left="720" w:right="-120"/>
      </w:pPr>
      <w:r>
        <w:t xml:space="preserve">Who Will Be </w:t>
      </w:r>
      <w:proofErr w:type="gramStart"/>
      <w:r>
        <w:t>A</w:t>
      </w:r>
      <w:proofErr w:type="gramEnd"/>
      <w:r>
        <w:t xml:space="preserve"> Witness: Igniting Activism for God's Justice, Love, and Deliverance by Drew G.I. Hart</w:t>
      </w:r>
    </w:p>
    <w:p w14:paraId="3AB29EF9" w14:textId="77777777" w:rsidR="0068741E" w:rsidRDefault="0068741E">
      <w:pPr>
        <w:ind w:left="720" w:right="-120"/>
      </w:pPr>
    </w:p>
    <w:p w14:paraId="718991B8" w14:textId="77777777" w:rsidR="0068741E" w:rsidRDefault="009B7A48">
      <w:pPr>
        <w:ind w:left="720" w:right="-120"/>
      </w:pPr>
      <w:r>
        <w:t xml:space="preserve">East Point Peace Academy </w:t>
      </w:r>
      <w:hyperlink r:id="rId25">
        <w:r>
          <w:rPr>
            <w:color w:val="1155CC"/>
            <w:u w:val="single"/>
          </w:rPr>
          <w:t>https://www.eastpointpeace.org/ourtrainings</w:t>
        </w:r>
      </w:hyperlink>
    </w:p>
    <w:p w14:paraId="45A822D3" w14:textId="77777777" w:rsidR="0068741E" w:rsidRDefault="0068741E">
      <w:pPr>
        <w:ind w:left="720" w:right="-120"/>
      </w:pPr>
    </w:p>
    <w:p w14:paraId="5E4CD08B" w14:textId="77777777" w:rsidR="0068741E" w:rsidRDefault="009B7A48">
      <w:pPr>
        <w:ind w:left="720" w:right="-120"/>
      </w:pPr>
      <w:r>
        <w:t xml:space="preserve">Religious Identity and Political Participation in the Mennonite Church USA </w:t>
      </w:r>
      <w:hyperlink r:id="rId26">
        <w:r>
          <w:rPr>
            <w:color w:val="1155CC"/>
            <w:u w:val="single"/>
          </w:rPr>
          <w:t>https://www.researchgate.net/publication/247657270_Religious_Identity_and_Political_Participation_in_the_Mennonite_Church_USA</w:t>
        </w:r>
      </w:hyperlink>
      <w:r>
        <w:br/>
      </w:r>
    </w:p>
    <w:p w14:paraId="43E940CF" w14:textId="77777777" w:rsidR="0068741E" w:rsidRDefault="009B7A48">
      <w:pPr>
        <w:ind w:left="720" w:right="-120"/>
      </w:pPr>
      <w:r>
        <w:t>Jesus for President: Politics for Ordinary Radicals by Shane Claiborne and Chris Haw</w:t>
      </w:r>
    </w:p>
    <w:sectPr w:rsidR="0068741E">
      <w:pgSz w:w="12240" w:h="15840"/>
      <w:pgMar w:top="1260" w:right="120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1E"/>
    <w:rsid w:val="0068741E"/>
    <w:rsid w:val="009B7A48"/>
    <w:rsid w:val="00FB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4D9E"/>
  <w15:docId w15:val="{C06D138C-E2EE-406F-A245-1AC17412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www.evangelicalconfession2024.com" TargetMode="External"/><Relationship Id="rId18" Type="http://schemas.openxmlformats.org/officeDocument/2006/relationships/hyperlink" Target="https://www.mennoniteusa.org/who-are-mennonites/what-we-believe/confession-of-faith/churchs-relation-to-government-and-society/" TargetMode="External"/><Relationship Id="rId26" Type="http://schemas.openxmlformats.org/officeDocument/2006/relationships/hyperlink" Target="https://www.researchgate.net/publication/247657270_Religious_Identity_and_Political_Participation_in_the_Mennonite_Church_USA" TargetMode="External"/><Relationship Id="rId3" Type="http://schemas.openxmlformats.org/officeDocument/2006/relationships/webSettings" Target="webSettings.xml"/><Relationship Id="rId21" Type="http://schemas.openxmlformats.org/officeDocument/2006/relationships/hyperlink" Target="https://www.mennoniteusa.org/resource-portal/resource/mennonite-congregations-in-the-landscape-of-abolition/" TargetMode="External"/><Relationship Id="rId7" Type="http://schemas.openxmlformats.org/officeDocument/2006/relationships/image" Target="media/image1.jpg"/><Relationship Id="rId12" Type="http://schemas.openxmlformats.org/officeDocument/2006/relationships/hyperlink" Target="https://www.evangelicalconfession2024.com" TargetMode="External"/><Relationship Id="rId17" Type="http://schemas.openxmlformats.org/officeDocument/2006/relationships/image" Target="media/image5.jpg"/><Relationship Id="rId25" Type="http://schemas.openxmlformats.org/officeDocument/2006/relationships/hyperlink" Target="https://www.eastpointpeace.org/ourtrainings" TargetMode="External"/><Relationship Id="rId2" Type="http://schemas.openxmlformats.org/officeDocument/2006/relationships/settings" Target="settings.xml"/><Relationship Id="rId16" Type="http://schemas.openxmlformats.org/officeDocument/2006/relationships/image" Target="media/image4.jpg"/><Relationship Id="rId20" Type="http://schemas.openxmlformats.org/officeDocument/2006/relationships/hyperlink" Target="https://www.mennoniteusa.org/climate-justice/beginners-guide-to-political-advocacy/" TargetMode="External"/><Relationship Id="rId1" Type="http://schemas.openxmlformats.org/officeDocument/2006/relationships/styles" Target="styles.xml"/><Relationship Id="rId6" Type="http://schemas.openxmlformats.org/officeDocument/2006/relationships/image" Target="media/image5.png"/><Relationship Id="rId11" Type="http://schemas.openxmlformats.org/officeDocument/2006/relationships/image" Target="media/image6.png"/><Relationship Id="rId24" Type="http://schemas.openxmlformats.org/officeDocument/2006/relationships/hyperlink" Target="https://www.mennonitemission.net/resources/peace" TargetMode="External"/><Relationship Id="rId15" Type="http://schemas.openxmlformats.org/officeDocument/2006/relationships/image" Target="media/image3.png"/><Relationship Id="rId23" Type="http://schemas.openxmlformats.org/officeDocument/2006/relationships/hyperlink" Target="https://cpt.org" TargetMode="External"/><Relationship Id="rId28"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hyperlink" Target="https://www.mennoniteusa.org/news/bold-peacemaking/" TargetMode="External"/><Relationship Id="rId9" Type="http://schemas.openxmlformats.org/officeDocument/2006/relationships/image" Target="media/image9.png"/><Relationship Id="rId14" Type="http://schemas.openxmlformats.org/officeDocument/2006/relationships/image" Target="media/image2.jpg"/><Relationship Id="rId22" Type="http://schemas.openxmlformats.org/officeDocument/2006/relationships/hyperlink" Target="https://www.youtube.com/watch?v=CZSu_8BWw_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Luginbill</dc:creator>
  <cp:lastModifiedBy>Doug Luginbill</cp:lastModifiedBy>
  <cp:revision>2</cp:revision>
  <dcterms:created xsi:type="dcterms:W3CDTF">2024-09-11T12:34:00Z</dcterms:created>
  <dcterms:modified xsi:type="dcterms:W3CDTF">2024-09-11T12:34:00Z</dcterms:modified>
</cp:coreProperties>
</file>